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0C" w:rsidRPr="0020470C" w:rsidRDefault="0020470C" w:rsidP="0020470C">
      <w:pPr>
        <w:spacing w:after="0" w:line="240" w:lineRule="auto"/>
        <w:jc w:val="center"/>
        <w:rPr>
          <w:b/>
        </w:rPr>
      </w:pPr>
      <w:r w:rsidRPr="0020470C">
        <w:rPr>
          <w:b/>
        </w:rPr>
        <w:t>Testimony of Kathy Griesmyer</w:t>
      </w:r>
    </w:p>
    <w:p w:rsidR="0020470C" w:rsidRPr="0020470C" w:rsidRDefault="0020470C" w:rsidP="0020470C">
      <w:pPr>
        <w:spacing w:after="0" w:line="240" w:lineRule="auto"/>
        <w:jc w:val="center"/>
        <w:rPr>
          <w:b/>
        </w:rPr>
      </w:pPr>
      <w:r w:rsidRPr="0020470C">
        <w:rPr>
          <w:b/>
        </w:rPr>
        <w:t>SB 1342 – Permitting use of Bibles in public schools</w:t>
      </w:r>
    </w:p>
    <w:p w:rsidR="0020470C" w:rsidRPr="0020470C" w:rsidRDefault="0020470C" w:rsidP="0020470C">
      <w:pPr>
        <w:spacing w:after="0" w:line="240" w:lineRule="auto"/>
        <w:jc w:val="center"/>
        <w:rPr>
          <w:b/>
        </w:rPr>
      </w:pPr>
      <w:r w:rsidRPr="0020470C">
        <w:rPr>
          <w:b/>
        </w:rPr>
        <w:t xml:space="preserve">Before Senate State Affairs Committee </w:t>
      </w:r>
    </w:p>
    <w:p w:rsidR="0020470C" w:rsidRPr="0020470C" w:rsidRDefault="0020470C" w:rsidP="0020470C">
      <w:pPr>
        <w:spacing w:after="0" w:line="240" w:lineRule="auto"/>
        <w:jc w:val="center"/>
        <w:rPr>
          <w:b/>
        </w:rPr>
      </w:pPr>
      <w:r w:rsidRPr="0020470C">
        <w:rPr>
          <w:b/>
        </w:rPr>
        <w:t>February 26, 2016</w:t>
      </w:r>
    </w:p>
    <w:p w:rsidR="005E6C0E" w:rsidRDefault="005E6C0E" w:rsidP="005E6C0E"/>
    <w:p w:rsidR="005E6C0E" w:rsidRDefault="005E6C0E" w:rsidP="005E6C0E">
      <w:r>
        <w:t>The ACLU of Idaho stands before you today in opposition to SB 1342</w:t>
      </w:r>
      <w:r w:rsidR="00F43E6D">
        <w:t>.</w:t>
      </w:r>
    </w:p>
    <w:p w:rsidR="006E6D3A" w:rsidRPr="00741423" w:rsidRDefault="00E90048" w:rsidP="006E6D3A">
      <w:r>
        <w:t>SB 1342</w:t>
      </w:r>
      <w:r w:rsidR="00F43E6D">
        <w:t xml:space="preserve"> inject</w:t>
      </w:r>
      <w:r w:rsidR="0076142B">
        <w:t>s</w:t>
      </w:r>
      <w:r w:rsidR="00F43E6D">
        <w:t xml:space="preserve"> </w:t>
      </w:r>
      <w:r w:rsidR="00422790">
        <w:t>creationism</w:t>
      </w:r>
      <w:r w:rsidR="00F43E6D">
        <w:t xml:space="preserve"> into public-school science classes.  </w:t>
      </w:r>
      <w:r w:rsidR="0076142B">
        <w:t>Specifically, t</w:t>
      </w:r>
      <w:r w:rsidR="00F43E6D">
        <w:t xml:space="preserve">he bill </w:t>
      </w:r>
      <w:r w:rsidR="0076142B">
        <w:t xml:space="preserve">states </w:t>
      </w:r>
      <w:r w:rsidR="00F43E6D">
        <w:t>that</w:t>
      </w:r>
      <w:r w:rsidR="005E6C0E">
        <w:t xml:space="preserve"> “the Bible is expressly permitted to be used in Idaho public schools for reference purposes to further the study of</w:t>
      </w:r>
      <w:r w:rsidR="00741423">
        <w:t xml:space="preserve">… </w:t>
      </w:r>
      <w:r w:rsidR="005E6C0E">
        <w:t>astronomy, biology, geology</w:t>
      </w:r>
      <w:r w:rsidR="0076142B">
        <w:t>.</w:t>
      </w:r>
      <w:r w:rsidR="00153D49">
        <w:t xml:space="preserve">” </w:t>
      </w:r>
      <w:r w:rsidR="0076142B">
        <w:t xml:space="preserve"> C</w:t>
      </w:r>
      <w:r w:rsidR="00422790">
        <w:t xml:space="preserve">reationism and the Bible have no place in </w:t>
      </w:r>
      <w:r w:rsidR="005E6C0E">
        <w:t xml:space="preserve">public-school science </w:t>
      </w:r>
      <w:r w:rsidR="00422790">
        <w:t xml:space="preserve">classes and </w:t>
      </w:r>
      <w:r w:rsidR="006E6D3A">
        <w:rPr>
          <w:rFonts w:ascii="Calibri" w:eastAsia="Times New Roman" w:hAnsi="Calibri"/>
          <w:color w:val="000000"/>
        </w:rPr>
        <w:t xml:space="preserve">legislation </w:t>
      </w:r>
      <w:r w:rsidR="00422790">
        <w:rPr>
          <w:rFonts w:ascii="Calibri" w:eastAsia="Times New Roman" w:hAnsi="Calibri"/>
          <w:color w:val="000000"/>
        </w:rPr>
        <w:t xml:space="preserve">that permits otherwise </w:t>
      </w:r>
      <w:r w:rsidR="0076142B">
        <w:rPr>
          <w:rFonts w:ascii="Calibri" w:eastAsia="Times New Roman" w:hAnsi="Calibri"/>
          <w:color w:val="000000"/>
        </w:rPr>
        <w:t xml:space="preserve">raises </w:t>
      </w:r>
      <w:r w:rsidR="006E6D3A">
        <w:rPr>
          <w:rFonts w:ascii="Calibri" w:eastAsia="Times New Roman" w:hAnsi="Calibri"/>
          <w:color w:val="000000"/>
        </w:rPr>
        <w:t xml:space="preserve">serious constitutional </w:t>
      </w:r>
      <w:r w:rsidR="0076142B">
        <w:rPr>
          <w:rFonts w:ascii="Calibri" w:eastAsia="Times New Roman" w:hAnsi="Calibri"/>
          <w:color w:val="000000"/>
        </w:rPr>
        <w:t>issues.</w:t>
      </w:r>
    </w:p>
    <w:p w:rsidR="00471C00" w:rsidRDefault="00471C00" w:rsidP="00471C00">
      <w:pPr>
        <w:rPr>
          <w:rFonts w:ascii="Calibri" w:eastAsia="Times New Roman" w:hAnsi="Calibri"/>
          <w:color w:val="000000"/>
        </w:rPr>
      </w:pPr>
      <w:r>
        <w:rPr>
          <w:rFonts w:ascii="Calibri" w:eastAsia="Times New Roman" w:hAnsi="Calibri"/>
          <w:color w:val="000000"/>
        </w:rPr>
        <w:t xml:space="preserve">SB 1342 authorizes the Bible to be used for references purposes in </w:t>
      </w:r>
      <w:proofErr w:type="gramStart"/>
      <w:r>
        <w:rPr>
          <w:rFonts w:ascii="Calibri" w:eastAsia="Times New Roman" w:hAnsi="Calibri"/>
          <w:color w:val="000000"/>
        </w:rPr>
        <w:t>any  class</w:t>
      </w:r>
      <w:proofErr w:type="gramEnd"/>
      <w:r>
        <w:rPr>
          <w:rFonts w:ascii="Calibri" w:eastAsia="Times New Roman" w:hAnsi="Calibri"/>
          <w:color w:val="000000"/>
        </w:rPr>
        <w:t xml:space="preserve"> “where an understanding </w:t>
      </w:r>
      <w:r w:rsidRPr="00E90048">
        <w:rPr>
          <w:rFonts w:ascii="Calibri" w:eastAsia="Times New Roman" w:hAnsi="Calibri"/>
          <w:color w:val="000000"/>
        </w:rPr>
        <w:t xml:space="preserve">of the </w:t>
      </w:r>
      <w:r>
        <w:rPr>
          <w:rFonts w:ascii="Calibri" w:eastAsia="Times New Roman" w:hAnsi="Calibri"/>
          <w:color w:val="000000"/>
        </w:rPr>
        <w:t>Bible may be useful or relevant.”  This</w:t>
      </w:r>
      <w:r w:rsidR="0076142B">
        <w:rPr>
          <w:rFonts w:ascii="Calibri" w:eastAsia="Times New Roman" w:hAnsi="Calibri"/>
          <w:color w:val="000000"/>
        </w:rPr>
        <w:t xml:space="preserve"> language</w:t>
      </w:r>
      <w:r>
        <w:rPr>
          <w:rFonts w:ascii="Calibri" w:eastAsia="Times New Roman" w:hAnsi="Calibri"/>
          <w:color w:val="000000"/>
        </w:rPr>
        <w:t xml:space="preserve"> raises its own serious constitutional questions.  While it may be permissible to use the Bible in some public-school courses, it is exceedingly difficult to do so in a way that complies with the Constitution.  The use of the Bible is best restricted to courses where teachers are presenting it in context with other like pieces, such as in a comparative religion or comparative literature class.  Further, it is </w:t>
      </w:r>
      <w:r w:rsidR="00C37A44">
        <w:rPr>
          <w:rFonts w:ascii="Calibri" w:eastAsia="Times New Roman" w:hAnsi="Calibri"/>
          <w:color w:val="000000"/>
        </w:rPr>
        <w:t xml:space="preserve">imperative </w:t>
      </w:r>
      <w:r>
        <w:rPr>
          <w:rFonts w:ascii="Calibri" w:eastAsia="Times New Roman" w:hAnsi="Calibri"/>
          <w:color w:val="000000"/>
        </w:rPr>
        <w:t>that teachers incorporating the Bible into a particular course receive appropriate academic training on the academic use of the Bible in public schools and work from appropriate teaching materials that have been developed with Establishment Clause concern in mind.   </w:t>
      </w:r>
    </w:p>
    <w:p w:rsidR="006F0299" w:rsidRDefault="00C37A44" w:rsidP="005E6C0E">
      <w:r>
        <w:t>In addition, f</w:t>
      </w:r>
      <w:r w:rsidR="005E6C0E" w:rsidRPr="00691BA6">
        <w:t>ederal courts have been unequivocally clear that efforts to inject religious beliefs regarding the origin of life into public</w:t>
      </w:r>
      <w:r w:rsidR="005E6C0E">
        <w:t>-</w:t>
      </w:r>
      <w:r w:rsidR="005E6C0E" w:rsidRPr="00691BA6">
        <w:t>school science curricula are constitutionally impermissible no matter what form they may take</w:t>
      </w:r>
      <w:r w:rsidR="005E6C0E">
        <w:t>.</w:t>
      </w:r>
      <w:r w:rsidR="005E6C0E">
        <w:rPr>
          <w:rStyle w:val="FootnoteReference"/>
        </w:rPr>
        <w:footnoteReference w:id="1"/>
      </w:r>
      <w:r w:rsidR="005E6C0E">
        <w:t xml:space="preserve">  </w:t>
      </w:r>
      <w:r w:rsidR="0076142B">
        <w:t xml:space="preserve">As part of my written testimony, I have provided a lengthy footnote citing the </w:t>
      </w:r>
      <w:r w:rsidR="0076142B">
        <w:lastRenderedPageBreak/>
        <w:t xml:space="preserve">extensive case law on this area.  </w:t>
      </w:r>
      <w:r w:rsidR="00422790">
        <w:t>By authorizing the Bible to be used in science classes like astronomy, biology, and geology,</w:t>
      </w:r>
      <w:r w:rsidR="00153D49">
        <w:t xml:space="preserve"> SB 1342</w:t>
      </w:r>
      <w:r w:rsidR="00471C00">
        <w:t xml:space="preserve"> </w:t>
      </w:r>
      <w:r w:rsidR="005E6C0E">
        <w:t>run</w:t>
      </w:r>
      <w:r w:rsidR="00422790">
        <w:t>s</w:t>
      </w:r>
      <w:r w:rsidR="005E6C0E">
        <w:t xml:space="preserve"> afoul of these constitutional prohibitions.</w:t>
      </w:r>
      <w:r w:rsidR="006F0299">
        <w:t xml:space="preserve">  </w:t>
      </w:r>
    </w:p>
    <w:p w:rsidR="00153D49" w:rsidRDefault="00741423" w:rsidP="005E6C0E">
      <w:bookmarkStart w:id="0" w:name="_GoBack"/>
      <w:bookmarkEnd w:id="0"/>
      <w:r>
        <w:t>Also,</w:t>
      </w:r>
      <w:r w:rsidR="006F0299">
        <w:t xml:space="preserve"> public schools that use the Bible as a reference in science classes, as encouraged by SB 1342, could </w:t>
      </w:r>
      <w:r>
        <w:t xml:space="preserve">potentially </w:t>
      </w:r>
      <w:r w:rsidR="006F0299">
        <w:t>face costly</w:t>
      </w:r>
      <w:r w:rsidR="005E6C0E">
        <w:t xml:space="preserve"> litigation</w:t>
      </w:r>
      <w:r w:rsidR="002B7712">
        <w:t>.</w:t>
      </w:r>
      <w:r w:rsidR="006F0299">
        <w:t xml:space="preserve"> For example, one school district in Pennsylvania was ordered to pay $1,000,000 in attorneys’ fees after being sued for injecting biblical beliefs in the form of “intelligent design” into biology classes.</w:t>
      </w:r>
      <w:r w:rsidR="00AD5698">
        <w:rPr>
          <w:rStyle w:val="FootnoteReference"/>
        </w:rPr>
        <w:footnoteReference w:id="2"/>
      </w:r>
    </w:p>
    <w:p w:rsidR="005E6C0E" w:rsidRDefault="0076142B" w:rsidP="005E6C0E">
      <w:r>
        <w:t xml:space="preserve">For all these reasons, we urge you to </w:t>
      </w:r>
      <w:r w:rsidR="005E6C0E">
        <w:t xml:space="preserve">vote </w:t>
      </w:r>
      <w:r w:rsidR="00741423">
        <w:t xml:space="preserve">no and </w:t>
      </w:r>
      <w:r w:rsidR="005E6C0E">
        <w:t>to keep SB 1342 in committee.</w:t>
      </w:r>
    </w:p>
    <w:p w:rsidR="004723AC" w:rsidRDefault="004723AC"/>
    <w:sectPr w:rsidR="004723AC" w:rsidSect="004723A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7AD" w:rsidRDefault="009877AD" w:rsidP="0020470C">
      <w:pPr>
        <w:spacing w:after="0" w:line="240" w:lineRule="auto"/>
      </w:pPr>
      <w:r>
        <w:separator/>
      </w:r>
    </w:p>
  </w:endnote>
  <w:endnote w:type="continuationSeparator" w:id="0">
    <w:p w:rsidR="009877AD" w:rsidRDefault="009877AD" w:rsidP="002047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FB" w:rsidRDefault="000A4EFB" w:rsidP="0020470C">
    <w:pPr>
      <w:pStyle w:val="Footer"/>
      <w:jc w:val="center"/>
    </w:pPr>
  </w:p>
  <w:p w:rsidR="000A4EFB" w:rsidRDefault="008746CD" w:rsidP="0020470C">
    <w:pPr>
      <w:pStyle w:val="Footer"/>
      <w:jc w:val="center"/>
    </w:pPr>
    <w:r>
      <w:rPr>
        <w:noProof/>
      </w:rPr>
      <w:pict>
        <v:shapetype id="_x0000_t32" coordsize="21600,21600" o:spt="32" o:oned="t" path="m,l21600,21600e" filled="f">
          <v:path arrowok="t" fillok="f" o:connecttype="none"/>
          <o:lock v:ext="edit" shapetype="t"/>
        </v:shapetype>
        <v:shape id="AutoShape 1" o:spid="_x0000_s4097" type="#_x0000_t32" style="position:absolute;left:0;text-align:left;margin-left:-39pt;margin-top:5.8pt;width:54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RL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"/>
      </w:pict>
    </w:r>
  </w:p>
  <w:p w:rsidR="000A4EFB" w:rsidRPr="005F6BF1" w:rsidRDefault="000A4EFB" w:rsidP="0020470C">
    <w:pPr>
      <w:pStyle w:val="Footer"/>
      <w:jc w:val="center"/>
    </w:pPr>
    <w:r>
      <w:t>F</w:t>
    </w:r>
    <w:r w:rsidRPr="005F6BF1">
      <w:t>or questions or comments, contact Kathy Griesmyer, Public Policy Strategist, at 208-344-9750 x1204.</w:t>
    </w:r>
  </w:p>
  <w:p w:rsidR="000A4EFB" w:rsidRDefault="000A4E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7AD" w:rsidRDefault="009877AD" w:rsidP="0020470C">
      <w:pPr>
        <w:spacing w:after="0" w:line="240" w:lineRule="auto"/>
      </w:pPr>
      <w:r>
        <w:separator/>
      </w:r>
    </w:p>
  </w:footnote>
  <w:footnote w:type="continuationSeparator" w:id="0">
    <w:p w:rsidR="009877AD" w:rsidRDefault="009877AD" w:rsidP="0020470C">
      <w:pPr>
        <w:spacing w:after="0" w:line="240" w:lineRule="auto"/>
      </w:pPr>
      <w:r>
        <w:continuationSeparator/>
      </w:r>
    </w:p>
  </w:footnote>
  <w:footnote w:id="1">
    <w:p w:rsidR="000A4EFB" w:rsidRDefault="000A4EFB" w:rsidP="005E6C0E">
      <w:pPr>
        <w:spacing w:after="0"/>
        <w:ind w:firstLine="720"/>
      </w:pPr>
      <w:r>
        <w:rPr>
          <w:rStyle w:val="FootnoteReference"/>
        </w:rPr>
        <w:footnoteRef/>
      </w:r>
      <w:r>
        <w:t xml:space="preserve"> </w:t>
      </w:r>
      <w:r w:rsidRPr="00DA57EA">
        <w:rPr>
          <w:i/>
          <w:sz w:val="20"/>
          <w:szCs w:val="20"/>
        </w:rPr>
        <w:t>See</w:t>
      </w:r>
      <w:r w:rsidRPr="00DA57EA">
        <w:rPr>
          <w:sz w:val="20"/>
          <w:szCs w:val="20"/>
        </w:rPr>
        <w:t xml:space="preserve">, </w:t>
      </w:r>
      <w:r>
        <w:rPr>
          <w:i/>
          <w:sz w:val="20"/>
          <w:szCs w:val="20"/>
        </w:rPr>
        <w:t xml:space="preserve">e.g., </w:t>
      </w:r>
      <w:r w:rsidRPr="00DA57EA">
        <w:rPr>
          <w:i/>
          <w:sz w:val="20"/>
          <w:szCs w:val="20"/>
        </w:rPr>
        <w:t>Edwards v. Aguillard</w:t>
      </w:r>
      <w:r w:rsidRPr="00DA57EA">
        <w:rPr>
          <w:sz w:val="20"/>
          <w:szCs w:val="20"/>
        </w:rPr>
        <w:t>, 482 U.S. 578, 586, 592 (1987) (striking down Louisiana Balanced Treatment for Creation-Science and Evolution-Science in Public School Instruction Act as unconstitutional, holding that the Act was “was not designed to further” the State’s purported goal of “protecting academic freedom,” and concluding that “[t]he preeminent purpose of the Louisiana Legislature was clearly to advance the religious viewpoint that a supernatural being created humankind”);</w:t>
      </w:r>
      <w:r w:rsidRPr="00DA57EA">
        <w:rPr>
          <w:i/>
          <w:sz w:val="20"/>
          <w:szCs w:val="20"/>
        </w:rPr>
        <w:t xml:space="preserve"> Epperson v. Arkansas</w:t>
      </w:r>
      <w:r w:rsidRPr="00DA57EA">
        <w:rPr>
          <w:sz w:val="20"/>
          <w:szCs w:val="20"/>
        </w:rPr>
        <w:t>, 393 U.S. 97, 10</w:t>
      </w:r>
      <w:r>
        <w:rPr>
          <w:sz w:val="20"/>
          <w:szCs w:val="20"/>
        </w:rPr>
        <w:t>7</w:t>
      </w:r>
      <w:r w:rsidRPr="00DA57EA">
        <w:rPr>
          <w:sz w:val="20"/>
          <w:szCs w:val="20"/>
        </w:rPr>
        <w:t xml:space="preserve"> (1968) (holding unconstitutional state law prohibiting the teaching of evolution in public schools as “there can be no doubt that Arkansas has sought to prevent its teachers from discussing the theory of evolution because it is contrary to the belief of some that the Book of Genesis must be the exclusive source of doctrine as to the origin of man”); </w:t>
      </w:r>
      <w:r w:rsidRPr="00DA57EA">
        <w:rPr>
          <w:i/>
          <w:sz w:val="20"/>
          <w:szCs w:val="20"/>
        </w:rPr>
        <w:t>Freiler v. Tangipahoa Parish Bd. of Educ.</w:t>
      </w:r>
      <w:r w:rsidRPr="00DA57EA">
        <w:rPr>
          <w:sz w:val="20"/>
          <w:szCs w:val="20"/>
        </w:rPr>
        <w:t xml:space="preserve">, 185 F. 3d 337, 344-45 (5th Cir. 1999) (overturning school-board policy requiring teachers to read classroom disclaimer questioning validity of evolution and promoting creationist beliefs and holding that the “contested disclaimer does not further the [Board’s] first articulated objective of encouraging informed freedom of belief or critical thinking by students . . . [but rather] we find that the disclaimer as a whole furthers a contrary purpose, namely the protection and maintenance of a particular religious viewpoint”); </w:t>
      </w:r>
      <w:r w:rsidRPr="00DA57EA">
        <w:rPr>
          <w:i/>
          <w:sz w:val="20"/>
          <w:szCs w:val="20"/>
        </w:rPr>
        <w:t>Freiler v. Tangipahoa Parish Bd. of Educ</w:t>
      </w:r>
      <w:r w:rsidRPr="00DA57EA">
        <w:rPr>
          <w:sz w:val="20"/>
          <w:szCs w:val="20"/>
        </w:rPr>
        <w:t xml:space="preserve">., 975 F. Supp.  819, 829 (E.D. La. 1997), </w:t>
      </w:r>
      <w:r w:rsidRPr="00DA57EA">
        <w:rPr>
          <w:i/>
          <w:sz w:val="20"/>
          <w:szCs w:val="20"/>
        </w:rPr>
        <w:t>aff’d</w:t>
      </w:r>
      <w:r>
        <w:rPr>
          <w:sz w:val="20"/>
          <w:szCs w:val="20"/>
        </w:rPr>
        <w:t>,</w:t>
      </w:r>
      <w:r w:rsidRPr="00DA57EA">
        <w:rPr>
          <w:sz w:val="20"/>
          <w:szCs w:val="20"/>
        </w:rPr>
        <w:t xml:space="preserve"> 185 F.3d 337 (5th Cir. 1999) (“[T]his Court cannot glean any secular purpose to this disclaimer.  While the School Board intelligently suggests that the purpose of the disclaimer is to urge students to exercise their critical thinking skills, there can be little doubt that students already had that right and are so urged in every class.”); </w:t>
      </w:r>
      <w:r w:rsidRPr="00DA57EA">
        <w:rPr>
          <w:i/>
          <w:sz w:val="20"/>
          <w:szCs w:val="20"/>
        </w:rPr>
        <w:t>Selman v. Cobb County Sch. Dist.</w:t>
      </w:r>
      <w:r w:rsidRPr="00DA57EA">
        <w:rPr>
          <w:sz w:val="20"/>
          <w:szCs w:val="20"/>
        </w:rPr>
        <w:t xml:space="preserve">, 390 F. Supp. 2d 1286, 1306 (N.D. Ga. 2005) (striking down Board policy requiring placement of sticker disclaiming evolution as theory, not fact, in all science textbooks because the sticker impermissibly “sends a message to those who oppose evolution for religious reasons that they are favored members of the political community,  . . . [and] a message to those who believe in evolution that they are political outsiders”), </w:t>
      </w:r>
      <w:r w:rsidRPr="00DA57EA">
        <w:rPr>
          <w:i/>
          <w:sz w:val="20"/>
          <w:szCs w:val="20"/>
        </w:rPr>
        <w:t>vacated and remanded on grounds of incomplete trial record</w:t>
      </w:r>
      <w:r w:rsidRPr="00DA57EA">
        <w:rPr>
          <w:sz w:val="20"/>
          <w:szCs w:val="20"/>
        </w:rPr>
        <w:t xml:space="preserve">, 449 F.3d 1320 (11th Cir. 2006); </w:t>
      </w:r>
      <w:r w:rsidRPr="00DA57EA">
        <w:rPr>
          <w:i/>
          <w:sz w:val="20"/>
          <w:szCs w:val="20"/>
        </w:rPr>
        <w:t>Kitzmiller v. Dover</w:t>
      </w:r>
      <w:r w:rsidRPr="00DA57EA">
        <w:rPr>
          <w:sz w:val="20"/>
          <w:szCs w:val="20"/>
        </w:rPr>
        <w:t xml:space="preserve">, 400 F. Supp.2d 707, 765-66 (M.D. </w:t>
      </w:r>
      <w:r>
        <w:rPr>
          <w:sz w:val="20"/>
          <w:szCs w:val="20"/>
        </w:rPr>
        <w:t xml:space="preserve">Pa. </w:t>
      </w:r>
      <w:r w:rsidRPr="00DA57EA">
        <w:rPr>
          <w:sz w:val="20"/>
          <w:szCs w:val="20"/>
        </w:rPr>
        <w:t xml:space="preserve">2005) (striking down school board policy promoting the teaching of intelligent design in biology class); </w:t>
      </w:r>
      <w:r w:rsidRPr="00DA57EA">
        <w:rPr>
          <w:i/>
          <w:sz w:val="20"/>
          <w:szCs w:val="20"/>
        </w:rPr>
        <w:t>McLean v. Ark. Bd. of Educ.</w:t>
      </w:r>
      <w:r w:rsidRPr="00DA57EA">
        <w:rPr>
          <w:sz w:val="20"/>
          <w:szCs w:val="20"/>
        </w:rPr>
        <w:t>, 529 F.  Supp. 1255, 1274 (E.D. Ark. 1982) (enjoining  statute authorizing teaching of creation-science in public schools and holding that “[n]o group, no matter how large or small, may use the organs of government, of which the public schools are the most conspicuous and influential, to foist its religious beliefs on others”)</w:t>
      </w:r>
      <w:r>
        <w:rPr>
          <w:sz w:val="20"/>
          <w:szCs w:val="20"/>
        </w:rPr>
        <w:t>.</w:t>
      </w:r>
    </w:p>
  </w:footnote>
  <w:footnote w:id="2">
    <w:p w:rsidR="00AD5698" w:rsidRDefault="00AD5698">
      <w:pPr>
        <w:pStyle w:val="FootnoteText"/>
      </w:pPr>
      <w:r>
        <w:rPr>
          <w:rStyle w:val="FootnoteReference"/>
        </w:rPr>
        <w:footnoteRef/>
      </w:r>
      <w:r w:rsidR="006F0299">
        <w:t xml:space="preserve"> </w:t>
      </w:r>
      <w:r w:rsidR="006F0299" w:rsidRPr="006F0299">
        <w:t xml:space="preserve"> Amy Worden</w:t>
      </w:r>
      <w:r w:rsidR="006F0299">
        <w:t xml:space="preserve">, </w:t>
      </w:r>
      <w:r w:rsidR="006F0299" w:rsidRPr="00537094">
        <w:rPr>
          <w:i/>
        </w:rPr>
        <w:t>Dover district to pay $1 million in legal fees</w:t>
      </w:r>
      <w:r w:rsidR="006F0299">
        <w:t xml:space="preserve">, The Philadelphia Inquirer, Feb. 22, 2006, </w:t>
      </w:r>
      <w:r w:rsidR="006F0299">
        <w:rPr>
          <w:i/>
        </w:rPr>
        <w:t>available online</w:t>
      </w:r>
      <w:r w:rsidR="006F0299">
        <w:t xml:space="preserve">, </w:t>
      </w:r>
      <w:r w:rsidR="006F0299" w:rsidRPr="006F0299">
        <w:t>http://articles.philly.com/2006-02-22/news/25409614_1_dover-area-school-district-bryan-rehm-eric-rothschild</w:t>
      </w:r>
      <w:r w:rsidR="006F0299">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FB" w:rsidRDefault="000A4EFB" w:rsidP="0020470C">
    <w:pPr>
      <w:spacing w:after="0" w:line="240" w:lineRule="auto"/>
      <w:jc w:val="right"/>
      <w:rPr>
        <w:color w:val="365F91" w:themeColor="accent1" w:themeShade="BF"/>
        <w:sz w:val="18"/>
        <w:szCs w:val="18"/>
      </w:rPr>
    </w:pPr>
    <w:r w:rsidRPr="006F36F2">
      <w:rPr>
        <w:noProof/>
        <w:color w:val="365F91" w:themeColor="accent1" w:themeShade="BF"/>
        <w:sz w:val="18"/>
        <w:szCs w:val="18"/>
      </w:rPr>
      <w:drawing>
        <wp:anchor distT="0" distB="0" distL="114300" distR="114300" simplePos="0" relativeHeight="251659264" behindDoc="0" locked="0" layoutInCell="1" allowOverlap="1">
          <wp:simplePos x="0" y="0"/>
          <wp:positionH relativeFrom="column">
            <wp:posOffset>78044</wp:posOffset>
          </wp:positionH>
          <wp:positionV relativeFrom="paragraph">
            <wp:posOffset>38100</wp:posOffset>
          </wp:positionV>
          <wp:extent cx="1672077" cy="790575"/>
          <wp:effectExtent l="19050" t="0" r="4323" b="0"/>
          <wp:wrapNone/>
          <wp:docPr id="2" name="Picture 0" descr="ID-Annivers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nniversary-20.jpg"/>
                  <pic:cNvPicPr/>
                </pic:nvPicPr>
                <pic:blipFill>
                  <a:blip r:embed="rId1"/>
                  <a:stretch>
                    <a:fillRect/>
                  </a:stretch>
                </pic:blipFill>
                <pic:spPr>
                  <a:xfrm>
                    <a:off x="0" y="0"/>
                    <a:ext cx="1672077" cy="790575"/>
                  </a:xfrm>
                  <a:prstGeom prst="rect">
                    <a:avLst/>
                  </a:prstGeom>
                </pic:spPr>
              </pic:pic>
            </a:graphicData>
          </a:graphic>
        </wp:anchor>
      </w:drawing>
    </w:r>
    <w:r>
      <w:rPr>
        <w:color w:val="365F91" w:themeColor="accent1" w:themeShade="BF"/>
        <w:sz w:val="18"/>
        <w:szCs w:val="18"/>
      </w:rPr>
      <w:t>ACLU of Idaho</w:t>
    </w:r>
  </w:p>
  <w:p w:rsidR="000A4EFB" w:rsidRPr="005F6BF1" w:rsidRDefault="000A4EFB" w:rsidP="0020470C">
    <w:pPr>
      <w:spacing w:after="0" w:line="240" w:lineRule="auto"/>
      <w:jc w:val="right"/>
      <w:rPr>
        <w:color w:val="365F91" w:themeColor="accent1" w:themeShade="BF"/>
        <w:sz w:val="18"/>
        <w:szCs w:val="18"/>
      </w:rPr>
    </w:pPr>
    <w:r w:rsidRPr="005F6BF1">
      <w:rPr>
        <w:color w:val="365F91" w:themeColor="accent1" w:themeShade="BF"/>
        <w:sz w:val="18"/>
        <w:szCs w:val="18"/>
      </w:rPr>
      <w:t>PO Box 1897</w:t>
    </w:r>
  </w:p>
  <w:p w:rsidR="000A4EFB" w:rsidRPr="005F6BF1" w:rsidRDefault="000A4EFB" w:rsidP="0020470C">
    <w:pPr>
      <w:spacing w:after="0" w:line="240" w:lineRule="auto"/>
      <w:jc w:val="right"/>
      <w:rPr>
        <w:color w:val="365F91" w:themeColor="accent1" w:themeShade="BF"/>
        <w:sz w:val="18"/>
        <w:szCs w:val="18"/>
      </w:rPr>
    </w:pPr>
    <w:r w:rsidRPr="005F6BF1">
      <w:rPr>
        <w:color w:val="365F91" w:themeColor="accent1" w:themeShade="BF"/>
        <w:sz w:val="18"/>
        <w:szCs w:val="18"/>
      </w:rPr>
      <w:t>Boise, ID 83701</w:t>
    </w:r>
  </w:p>
  <w:p w:rsidR="000A4EFB" w:rsidRPr="005F6BF1" w:rsidRDefault="000A4EFB" w:rsidP="0020470C">
    <w:pPr>
      <w:spacing w:after="0" w:line="240" w:lineRule="auto"/>
      <w:jc w:val="right"/>
      <w:rPr>
        <w:color w:val="365F91" w:themeColor="accent1" w:themeShade="BF"/>
        <w:sz w:val="18"/>
        <w:szCs w:val="18"/>
      </w:rPr>
    </w:pPr>
    <w:r w:rsidRPr="005F6BF1">
      <w:rPr>
        <w:color w:val="365F91" w:themeColor="accent1" w:themeShade="BF"/>
        <w:sz w:val="18"/>
        <w:szCs w:val="18"/>
      </w:rPr>
      <w:t xml:space="preserve">(208) 344-9750 </w:t>
    </w:r>
  </w:p>
  <w:p w:rsidR="000A4EFB" w:rsidRPr="005F6BF1" w:rsidRDefault="000A4EFB" w:rsidP="0020470C">
    <w:pPr>
      <w:pStyle w:val="Header"/>
      <w:ind w:left="2160"/>
      <w:jc w:val="right"/>
    </w:pPr>
    <w:r w:rsidRPr="005F6BF1">
      <w:tab/>
    </w:r>
    <w:r w:rsidRPr="005F6BF1">
      <w:tab/>
    </w:r>
    <w:hyperlink r:id="rId2" w:history="1">
      <w:r w:rsidRPr="005F6BF1">
        <w:rPr>
          <w:rStyle w:val="Hyperlink"/>
          <w:color w:val="365F91" w:themeColor="accent1" w:themeShade="BF"/>
          <w:sz w:val="18"/>
          <w:szCs w:val="18"/>
        </w:rPr>
        <w:t>www.acluidaho.org</w:t>
      </w:r>
    </w:hyperlink>
  </w:p>
  <w:p w:rsidR="000A4EFB" w:rsidRDefault="000A4EF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4"/>
      <o:rules v:ext="edit">
        <o:r id="V:Rule1" type="connector" idref="#AutoShape 1"/>
      </o:rules>
    </o:shapelayout>
  </w:hdrShapeDefaults>
  <w:footnotePr>
    <w:footnote w:id="-1"/>
    <w:footnote w:id="0"/>
  </w:footnotePr>
  <w:endnotePr>
    <w:endnote w:id="-1"/>
    <w:endnote w:id="0"/>
  </w:endnotePr>
  <w:compat/>
  <w:rsids>
    <w:rsidRoot w:val="0020470C"/>
    <w:rsid w:val="000A4EFB"/>
    <w:rsid w:val="00153D49"/>
    <w:rsid w:val="0020470C"/>
    <w:rsid w:val="002B7712"/>
    <w:rsid w:val="002E5067"/>
    <w:rsid w:val="00301560"/>
    <w:rsid w:val="00394DD6"/>
    <w:rsid w:val="00422790"/>
    <w:rsid w:val="00471C00"/>
    <w:rsid w:val="004723AC"/>
    <w:rsid w:val="00537094"/>
    <w:rsid w:val="005B753B"/>
    <w:rsid w:val="005D1A65"/>
    <w:rsid w:val="005E6C0E"/>
    <w:rsid w:val="006E2C72"/>
    <w:rsid w:val="006E6D3A"/>
    <w:rsid w:val="006F0299"/>
    <w:rsid w:val="00741423"/>
    <w:rsid w:val="0076142B"/>
    <w:rsid w:val="008135CB"/>
    <w:rsid w:val="008746CD"/>
    <w:rsid w:val="00940B21"/>
    <w:rsid w:val="009877AD"/>
    <w:rsid w:val="00AD5698"/>
    <w:rsid w:val="00AF716E"/>
    <w:rsid w:val="00C37A44"/>
    <w:rsid w:val="00CD4A53"/>
    <w:rsid w:val="00DE5186"/>
    <w:rsid w:val="00E27657"/>
    <w:rsid w:val="00E90048"/>
    <w:rsid w:val="00EB1863"/>
    <w:rsid w:val="00F43E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7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70C"/>
  </w:style>
  <w:style w:type="paragraph" w:styleId="Footer">
    <w:name w:val="footer"/>
    <w:basedOn w:val="Normal"/>
    <w:link w:val="FooterChar"/>
    <w:uiPriority w:val="99"/>
    <w:unhideWhenUsed/>
    <w:rsid w:val="00204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70C"/>
  </w:style>
  <w:style w:type="paragraph" w:styleId="BalloonText">
    <w:name w:val="Balloon Text"/>
    <w:basedOn w:val="Normal"/>
    <w:link w:val="BalloonTextChar"/>
    <w:uiPriority w:val="99"/>
    <w:semiHidden/>
    <w:unhideWhenUsed/>
    <w:rsid w:val="00204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70C"/>
    <w:rPr>
      <w:rFonts w:ascii="Tahoma" w:hAnsi="Tahoma" w:cs="Tahoma"/>
      <w:sz w:val="16"/>
      <w:szCs w:val="16"/>
    </w:rPr>
  </w:style>
  <w:style w:type="character" w:styleId="Hyperlink">
    <w:name w:val="Hyperlink"/>
    <w:basedOn w:val="DefaultParagraphFont"/>
    <w:uiPriority w:val="99"/>
    <w:unhideWhenUsed/>
    <w:rsid w:val="0020470C"/>
    <w:rPr>
      <w:color w:val="0000FF" w:themeColor="hyperlink"/>
      <w:u w:val="single"/>
    </w:rPr>
  </w:style>
  <w:style w:type="character" w:styleId="FootnoteReference">
    <w:name w:val="footnote reference"/>
    <w:basedOn w:val="DefaultParagraphFont"/>
    <w:uiPriority w:val="99"/>
    <w:unhideWhenUsed/>
    <w:rsid w:val="005E6C0E"/>
    <w:rPr>
      <w:vertAlign w:val="superscript"/>
    </w:rPr>
  </w:style>
  <w:style w:type="character" w:styleId="CommentReference">
    <w:name w:val="annotation reference"/>
    <w:basedOn w:val="DefaultParagraphFont"/>
    <w:uiPriority w:val="99"/>
    <w:semiHidden/>
    <w:unhideWhenUsed/>
    <w:rsid w:val="00153D49"/>
    <w:rPr>
      <w:sz w:val="16"/>
      <w:szCs w:val="16"/>
    </w:rPr>
  </w:style>
  <w:style w:type="paragraph" w:styleId="CommentText">
    <w:name w:val="annotation text"/>
    <w:basedOn w:val="Normal"/>
    <w:link w:val="CommentTextChar"/>
    <w:uiPriority w:val="99"/>
    <w:semiHidden/>
    <w:unhideWhenUsed/>
    <w:rsid w:val="00153D49"/>
    <w:pPr>
      <w:spacing w:line="240" w:lineRule="auto"/>
    </w:pPr>
    <w:rPr>
      <w:sz w:val="20"/>
      <w:szCs w:val="20"/>
    </w:rPr>
  </w:style>
  <w:style w:type="character" w:customStyle="1" w:styleId="CommentTextChar">
    <w:name w:val="Comment Text Char"/>
    <w:basedOn w:val="DefaultParagraphFont"/>
    <w:link w:val="CommentText"/>
    <w:uiPriority w:val="99"/>
    <w:semiHidden/>
    <w:rsid w:val="00153D49"/>
    <w:rPr>
      <w:sz w:val="20"/>
      <w:szCs w:val="20"/>
    </w:rPr>
  </w:style>
  <w:style w:type="paragraph" w:styleId="CommentSubject">
    <w:name w:val="annotation subject"/>
    <w:basedOn w:val="CommentText"/>
    <w:next w:val="CommentText"/>
    <w:link w:val="CommentSubjectChar"/>
    <w:uiPriority w:val="99"/>
    <w:semiHidden/>
    <w:unhideWhenUsed/>
    <w:rsid w:val="00153D49"/>
    <w:rPr>
      <w:b/>
      <w:bCs/>
    </w:rPr>
  </w:style>
  <w:style w:type="character" w:customStyle="1" w:styleId="CommentSubjectChar">
    <w:name w:val="Comment Subject Char"/>
    <w:basedOn w:val="CommentTextChar"/>
    <w:link w:val="CommentSubject"/>
    <w:uiPriority w:val="99"/>
    <w:semiHidden/>
    <w:rsid w:val="00153D49"/>
    <w:rPr>
      <w:b/>
      <w:bCs/>
      <w:sz w:val="20"/>
      <w:szCs w:val="20"/>
    </w:rPr>
  </w:style>
  <w:style w:type="paragraph" w:styleId="FootnoteText">
    <w:name w:val="footnote text"/>
    <w:basedOn w:val="Normal"/>
    <w:link w:val="FootnoteTextChar"/>
    <w:uiPriority w:val="99"/>
    <w:semiHidden/>
    <w:unhideWhenUsed/>
    <w:rsid w:val="00AD56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5698"/>
    <w:rPr>
      <w:sz w:val="20"/>
      <w:szCs w:val="20"/>
    </w:rPr>
  </w:style>
</w:styles>
</file>

<file path=word/webSettings.xml><?xml version="1.0" encoding="utf-8"?>
<w:webSettings xmlns:r="http://schemas.openxmlformats.org/officeDocument/2006/relationships" xmlns:w="http://schemas.openxmlformats.org/wordprocessingml/2006/main">
  <w:divs>
    <w:div w:id="525169804">
      <w:bodyDiv w:val="1"/>
      <w:marLeft w:val="0"/>
      <w:marRight w:val="0"/>
      <w:marTop w:val="0"/>
      <w:marBottom w:val="0"/>
      <w:divBdr>
        <w:top w:val="none" w:sz="0" w:space="0" w:color="auto"/>
        <w:left w:val="none" w:sz="0" w:space="0" w:color="auto"/>
        <w:bottom w:val="none" w:sz="0" w:space="0" w:color="auto"/>
        <w:right w:val="none" w:sz="0" w:space="0" w:color="auto"/>
      </w:divBdr>
    </w:div>
    <w:div w:id="181413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acluidaho.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BE578-D462-4364-A20E-FEAABE4A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kgriesmyer</dc:creator>
  <cp:lastModifiedBy>kgriesmyer</cp:lastModifiedBy>
  <cp:revision>3</cp:revision>
  <dcterms:created xsi:type="dcterms:W3CDTF">2016-02-25T23:59:00Z</dcterms:created>
  <dcterms:modified xsi:type="dcterms:W3CDTF">2016-02-26T00:10:00Z</dcterms:modified>
</cp:coreProperties>
</file>